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keepLines/>
        <w:spacing w:after="0" w:line="240" w:lineRule="auto"/>
        <w:rPr>
          <w:rFonts w:ascii="Times New Roman" w:hAnsi="Times New Roman" w:eastAsia="Times New Roman" w:cs="Times New Roman"/>
          <w:b/>
          <w:bCs/>
        </w:rPr>
      </w:pPr>
      <w:bookmarkStart w:id="0" w:name="_GoBack"/>
      <w:bookmarkEnd w:id="0"/>
    </w:p>
    <w:p w14:paraId="00000002">
      <w:pPr>
        <w:keepLines/>
        <w:spacing w:after="0" w:line="240" w:lineRule="auto"/>
        <w:rPr>
          <w:rFonts w:ascii="Times New Roman" w:hAnsi="Times New Roman" w:eastAsia="Times New Roman" w:cs="Times New Roman"/>
          <w:b/>
          <w:bCs/>
        </w:rPr>
      </w:pPr>
    </w:p>
    <w:p w14:paraId="00000003">
      <w:pPr>
        <w:keepLines/>
        <w:spacing w:after="0" w:line="240" w:lineRule="auto"/>
        <w:rPr>
          <w:rFonts w:ascii="Times New Roman" w:hAnsi="Times New Roman" w:eastAsia="Times New Roman" w:cs="Times New Roman"/>
          <w:b/>
          <w:bCs/>
        </w:rPr>
      </w:pPr>
    </w:p>
    <w:p w14:paraId="00000004">
      <w:pPr>
        <w:keepLines/>
        <w:spacing w:after="0" w:line="240" w:lineRule="auto"/>
        <w:rPr>
          <w:rFonts w:ascii="Times New Roman" w:hAnsi="Times New Roman" w:eastAsia="Times New Roman" w:cs="Times New Roman"/>
          <w:b/>
          <w:bCs/>
        </w:rPr>
      </w:pPr>
    </w:p>
    <w:p w14:paraId="00000005">
      <w:pPr>
        <w:keepLines/>
        <w:spacing w:after="0" w:line="240" w:lineRule="auto"/>
        <w:rPr>
          <w:rFonts w:ascii="Times New Roman" w:hAnsi="Times New Roman" w:eastAsia="Times New Roman" w:cs="Times New Roman"/>
          <w:b/>
          <w:bCs/>
        </w:rPr>
      </w:pPr>
      <w:r>
        <w:rPr>
          <w:rFonts w:ascii="Times New Roman" w:hAnsi="Times New Roman" w:eastAsia="Times New Roman" w:cs="Times New Roman"/>
          <w:b/>
          <w:bCs/>
          <w:rtl w:val="0"/>
        </w:rPr>
        <w:t>South-South Solidarity and Resistance to Imperialism</w:t>
      </w:r>
    </w:p>
    <w:p w14:paraId="00000006">
      <w:pPr>
        <w:keepLines/>
        <w:spacing w:after="0" w:line="240" w:lineRule="auto"/>
        <w:rPr>
          <w:rFonts w:ascii="Times New Roman" w:hAnsi="Times New Roman" w:eastAsia="Times New Roman" w:cs="Times New Roman"/>
          <w:b/>
          <w:bCs/>
          <w:sz w:val="22"/>
          <w:szCs w:val="22"/>
        </w:rPr>
      </w:pPr>
    </w:p>
    <w:p w14:paraId="00000007">
      <w:pPr>
        <w:keepLines/>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b/>
          <w:bCs/>
          <w:sz w:val="22"/>
          <w:szCs w:val="22"/>
          <w:rtl w:val="0"/>
        </w:rPr>
        <w:t>International Conference</w:t>
      </w:r>
    </w:p>
    <w:p w14:paraId="00000008">
      <w:pPr>
        <w:keepLines/>
        <w:spacing w:after="0" w:line="240" w:lineRule="auto"/>
        <w:rPr>
          <w:rFonts w:ascii="Times New Roman" w:hAnsi="Times New Roman" w:eastAsia="Times New Roman" w:cs="Times New Roman"/>
          <w:sz w:val="22"/>
          <w:szCs w:val="22"/>
        </w:rPr>
      </w:pPr>
    </w:p>
    <w:p w14:paraId="00000009">
      <w:pPr>
        <w:keepLines/>
        <w:spacing w:after="0" w:line="240" w:lineRule="auto"/>
        <w:rPr>
          <w:rFonts w:ascii="Times New Roman" w:hAnsi="Times New Roman" w:eastAsia="Times New Roman" w:cs="Times New Roman"/>
          <w:sz w:val="22"/>
          <w:szCs w:val="22"/>
          <w:highlight w:val="white"/>
        </w:rPr>
      </w:pPr>
      <w:r>
        <w:rPr>
          <w:rFonts w:ascii="Times New Roman" w:hAnsi="Times New Roman" w:eastAsia="Times New Roman" w:cs="Times New Roman"/>
          <w:b/>
          <w:bCs/>
          <w:sz w:val="22"/>
          <w:szCs w:val="22"/>
          <w:rtl w:val="0"/>
        </w:rPr>
        <w:t>Organized by:</w:t>
      </w:r>
      <w:r>
        <w:rPr>
          <w:rFonts w:ascii="Times New Roman" w:hAnsi="Times New Roman" w:eastAsia="Times New Roman" w:cs="Times New Roman"/>
          <w:sz w:val="22"/>
          <w:szCs w:val="22"/>
          <w:rtl w:val="0"/>
        </w:rPr>
        <w:t xml:space="preserve"> </w:t>
      </w:r>
      <w:r>
        <w:rPr>
          <w:rFonts w:ascii="Times New Roman" w:hAnsi="Times New Roman" w:eastAsia="Times New Roman" w:cs="Times New Roman"/>
          <w:sz w:val="22"/>
          <w:szCs w:val="22"/>
          <w:highlight w:val="white"/>
          <w:rtl w:val="0"/>
        </w:rPr>
        <w:t>The Ibrahim Abu-Lughod Institute of International Studies at Birzeit University, and Al Shabaka: The Palestinian Policy Network</w:t>
      </w:r>
    </w:p>
    <w:p w14:paraId="0000000A">
      <w:pPr>
        <w:keepLines/>
        <w:spacing w:after="0" w:line="240" w:lineRule="auto"/>
        <w:rPr>
          <w:rFonts w:ascii="Times New Roman" w:hAnsi="Times New Roman" w:eastAsia="Times New Roman" w:cs="Times New Roman"/>
          <w:sz w:val="22"/>
          <w:szCs w:val="22"/>
          <w:highlight w:val="white"/>
        </w:rPr>
      </w:pPr>
    </w:p>
    <w:p w14:paraId="0000000B">
      <w:pPr>
        <w:keepLines/>
        <w:spacing w:after="0" w:line="240" w:lineRule="auto"/>
        <w:rPr>
          <w:rFonts w:ascii="Times New Roman" w:hAnsi="Times New Roman" w:eastAsia="Times New Roman" w:cs="Times New Roman"/>
          <w:sz w:val="22"/>
          <w:szCs w:val="22"/>
          <w:highlight w:val="white"/>
        </w:rPr>
      </w:pPr>
      <w:r>
        <w:rPr>
          <w:rFonts w:ascii="Times New Roman" w:hAnsi="Times New Roman" w:eastAsia="Times New Roman" w:cs="Times New Roman"/>
          <w:b/>
          <w:bCs/>
          <w:sz w:val="22"/>
          <w:szCs w:val="22"/>
          <w:highlight w:val="white"/>
          <w:rtl w:val="0"/>
        </w:rPr>
        <w:t xml:space="preserve">Supporting Partners: </w:t>
      </w:r>
      <w:r>
        <w:rPr>
          <w:rFonts w:ascii="Times New Roman" w:hAnsi="Times New Roman" w:eastAsia="Times New Roman" w:cs="Times New Roman"/>
          <w:sz w:val="22"/>
          <w:szCs w:val="22"/>
          <w:highlight w:val="white"/>
          <w:rtl w:val="0"/>
        </w:rPr>
        <w:t>The Center for Humanities Research at the University of the Western Cape, South Africa, and the National Pedagogical University of Bogota, Colombia.</w:t>
      </w:r>
    </w:p>
    <w:p w14:paraId="0000000C">
      <w:pPr>
        <w:keepLines/>
        <w:spacing w:after="0" w:line="240" w:lineRule="auto"/>
        <w:rPr>
          <w:rFonts w:ascii="Times New Roman" w:hAnsi="Times New Roman" w:eastAsia="Times New Roman" w:cs="Times New Roman"/>
          <w:sz w:val="22"/>
          <w:szCs w:val="22"/>
        </w:rPr>
      </w:pPr>
    </w:p>
    <w:p w14:paraId="0000000D">
      <w:pPr>
        <w:keepLines/>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tl w:val="0"/>
        </w:rPr>
        <w:t>October 27–28, 2026</w:t>
      </w:r>
    </w:p>
    <w:p w14:paraId="0000000E">
      <w:pPr>
        <w:keepLines/>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tl w:val="0"/>
        </w:rPr>
        <w:t>Birzeit University, Palestine</w:t>
      </w:r>
    </w:p>
    <w:p w14:paraId="0000000F">
      <w:pPr>
        <w:keepLines/>
        <w:spacing w:after="0" w:line="240" w:lineRule="auto"/>
        <w:rPr>
          <w:rFonts w:ascii="Times New Roman" w:hAnsi="Times New Roman" w:eastAsia="Times New Roman" w:cs="Times New Roman"/>
          <w:i/>
          <w:iCs/>
          <w:sz w:val="22"/>
          <w:szCs w:val="22"/>
        </w:rPr>
      </w:pPr>
      <w:r>
        <w:rPr>
          <w:rFonts w:ascii="Times New Roman" w:hAnsi="Times New Roman" w:eastAsia="Times New Roman" w:cs="Times New Roman"/>
          <w:i/>
          <w:iCs/>
          <w:sz w:val="22"/>
          <w:szCs w:val="22"/>
          <w:rtl w:val="0"/>
        </w:rPr>
        <w:t>In-person and virtual participation</w:t>
      </w:r>
    </w:p>
    <w:p w14:paraId="00000010">
      <w:pPr>
        <w:keepLines/>
        <w:spacing w:after="0" w:line="240" w:lineRule="auto"/>
        <w:rPr>
          <w:rFonts w:ascii="Times New Roman" w:hAnsi="Times New Roman" w:eastAsia="Times New Roman" w:cs="Times New Roman"/>
          <w:sz w:val="22"/>
          <w:szCs w:val="22"/>
        </w:rPr>
      </w:pPr>
    </w:p>
    <w:p w14:paraId="00000011">
      <w:pPr>
        <w:keepLines/>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sz w:val="22"/>
          <w:szCs w:val="22"/>
          <w:rtl w:val="0"/>
        </w:rPr>
        <w:t xml:space="preserve">Conference languages: </w:t>
      </w:r>
      <w:r>
        <w:rPr>
          <w:rFonts w:ascii="Times New Roman" w:hAnsi="Times New Roman" w:eastAsia="Times New Roman" w:cs="Times New Roman"/>
          <w:b/>
          <w:bCs/>
          <w:sz w:val="22"/>
          <w:szCs w:val="22"/>
          <w:rtl w:val="0"/>
        </w:rPr>
        <w:t>Arabic, English, and Spanish</w:t>
      </w:r>
    </w:p>
    <w:p w14:paraId="00000012">
      <w:pPr>
        <w:keepLines/>
        <w:spacing w:after="0" w:line="240" w:lineRule="auto"/>
        <w:rPr>
          <w:rFonts w:ascii="Times New Roman" w:hAnsi="Times New Roman" w:eastAsia="Times New Roman" w:cs="Times New Roman"/>
          <w:b/>
          <w:bCs/>
          <w:sz w:val="22"/>
          <w:szCs w:val="22"/>
        </w:rPr>
      </w:pPr>
    </w:p>
    <w:p w14:paraId="00000013">
      <w:pPr>
        <w:rPr>
          <w:rFonts w:ascii="Times New Roman" w:hAnsi="Times New Roman" w:eastAsia="Times New Roman" w:cs="Times New Roman"/>
          <w:b/>
          <w:bCs/>
        </w:rPr>
      </w:pPr>
      <w:r>
        <w:rPr>
          <w:rFonts w:ascii="Times New Roman" w:hAnsi="Times New Roman" w:eastAsia="Times New Roman" w:cs="Times New Roman"/>
          <w:b/>
          <w:bCs/>
          <w:rtl w:val="0"/>
        </w:rPr>
        <w:t>Call for Papers</w:t>
      </w:r>
    </w:p>
    <w:p w14:paraId="00000014">
      <w:pPr>
        <w:spacing w:line="276" w:lineRule="auto"/>
        <w:jc w:val="both"/>
        <w:rPr>
          <w:rFonts w:ascii="Times New Roman" w:hAnsi="Times New Roman" w:eastAsia="Times New Roman" w:cs="Times New Roman"/>
        </w:rPr>
      </w:pPr>
      <w:r>
        <w:rPr>
          <w:rFonts w:ascii="Times New Roman" w:hAnsi="Times New Roman" w:eastAsia="Times New Roman" w:cs="Times New Roman"/>
          <w:rtl w:val="0"/>
        </w:rPr>
        <w:t>In the midst of the ongoing settler-colonial project and genocide in Palestine, shifting configurations of colonial and neo-colonial power worldwide demand closer examination. What was once justified in the language of a so-called “rules-based order” is increasingly giving way to more overt forms of imperial and colonial domination, reflecting and accelerating the erosion of the international system. Across interconnected sites—from military intervention in Venezuela to expanded sanctions on Cuba, from the genocides in Sudan and Palestine to violence in Yemen and Haiti—we can trace a contingent constellation of colonial and imperial forces that is continuously being reconfigured. Attending to these critical nodes facilitates a more precise analysis of the evolving architecture of imperial power, its legal and institutional infrastructures, and its points of fracture and contestation.</w:t>
      </w:r>
    </w:p>
    <w:p w14:paraId="00000015">
      <w:pPr>
        <w:spacing w:before="240" w:after="240" w:line="276" w:lineRule="auto"/>
        <w:jc w:val="both"/>
        <w:rPr>
          <w:rFonts w:ascii="Times New Roman" w:hAnsi="Times New Roman" w:eastAsia="Times New Roman" w:cs="Times New Roman"/>
        </w:rPr>
      </w:pPr>
      <w:r>
        <w:rPr>
          <w:rFonts w:ascii="Times New Roman" w:hAnsi="Times New Roman" w:eastAsia="Times New Roman" w:cs="Times New Roman"/>
          <w:rtl w:val="0"/>
        </w:rPr>
        <w:t>At the same time, transnational formations of solidarity have long emerged in opposition to imperialism, settler-colonialism, racial capitalism, and militarized governance. In recent years, these movements have gained renewed momentum, particularly in response to the Israeli settler-colonial regime’s live-streamed genocide in Palestine. They have brought together scholars, activists, policymakers, and civil society actors committed to challenging domination and hegemony, generating new modalities of coordination, knowledge production, and political intervention.</w:t>
      </w:r>
    </w:p>
    <w:p w14:paraId="00000016">
      <w:pPr>
        <w:spacing w:line="276" w:lineRule="auto"/>
        <w:jc w:val="both"/>
        <w:rPr>
          <w:rFonts w:ascii="Times New Roman" w:hAnsi="Times New Roman" w:eastAsia="Times New Roman" w:cs="Times New Roman"/>
          <w:strike/>
        </w:rPr>
      </w:pPr>
      <w:r>
        <w:rPr>
          <w:rFonts w:ascii="Times New Roman" w:hAnsi="Times New Roman" w:eastAsia="Times New Roman" w:cs="Times New Roman"/>
          <w:rtl w:val="0"/>
        </w:rPr>
        <w:t xml:space="preserve">In this regard, Palestine has functioned not only as a site of acute contemporary urgency but also as a generative locus of analytical and political convergence with other resistance movements and solidarity networks. Struggles organized around land dispossession and Indigenous sovereignty, political imprisonment and carceral regimes, economic exploitation and sanctions, and broader projects of decolonization intersect in and through Palestine. </w:t>
      </w:r>
    </w:p>
    <w:p w14:paraId="00000017">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Objective</w:t>
      </w:r>
    </w:p>
    <w:p w14:paraId="00000018">
      <w:pPr>
        <w:spacing w:line="276" w:lineRule="auto"/>
        <w:jc w:val="both"/>
        <w:rPr>
          <w:rFonts w:ascii="Times New Roman" w:hAnsi="Times New Roman" w:eastAsia="Times New Roman" w:cs="Times New Roman"/>
        </w:rPr>
      </w:pPr>
      <w:r>
        <w:rPr>
          <w:rFonts w:ascii="Times New Roman" w:hAnsi="Times New Roman" w:eastAsia="Times New Roman" w:cs="Times New Roman"/>
          <w:rtl w:val="0"/>
        </w:rPr>
        <w:t>Building on this understanding, the International Conference on South-South Solidarity and Resistance to Imperialism is conceived as a space for critical engagement, interdisciplinary dialogue, and knowledge exchange. It aims to deepen the understanding of imperialism as both a historical and contemporary constellation of forces while highlighting experiences of resistance and solidarity in Palestine and globally.</w:t>
      </w:r>
    </w:p>
    <w:p w14:paraId="00000019">
      <w:pPr>
        <w:spacing w:line="276" w:lineRule="auto"/>
        <w:jc w:val="left"/>
        <w:rPr>
          <w:rFonts w:ascii="Times New Roman" w:hAnsi="Times New Roman" w:eastAsia="Times New Roman" w:cs="Times New Roman"/>
        </w:rPr>
      </w:pPr>
      <w:r>
        <w:rPr>
          <w:rFonts w:ascii="Times New Roman" w:hAnsi="Times New Roman" w:eastAsia="Times New Roman" w:cs="Times New Roman"/>
          <w:rtl w:val="0"/>
        </w:rPr>
        <w:t>Specifically, the conference aims to:</w:t>
      </w:r>
    </w:p>
    <w:p w14:paraId="0000001A">
      <w:pPr>
        <w:numPr>
          <w:ilvl w:val="0"/>
          <w:numId w:val="1"/>
        </w:numPr>
        <w:spacing w:before="24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Deepen critical analyses of imperialism as a historical and contemporary phenomenon, highlighting experiences of resistance and solidarity.</w:t>
      </w:r>
    </w:p>
    <w:p w14:paraId="0000001B">
      <w:pPr>
        <w:numPr>
          <w:ilvl w:val="0"/>
          <w:numId w:val="1"/>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Bridge theory and practice by convening scholars, practitioners, organizers, and cultural workers representing diverse perspectives across continents and struggles.</w:t>
      </w:r>
    </w:p>
    <w:p w14:paraId="0000001C">
      <w:pPr>
        <w:numPr>
          <w:ilvl w:val="0"/>
          <w:numId w:val="1"/>
        </w:numPr>
        <w:ind w:left="720" w:hanging="360"/>
        <w:rPr>
          <w:rFonts w:ascii="Times New Roman" w:hAnsi="Times New Roman" w:eastAsia="Times New Roman" w:cs="Times New Roman"/>
        </w:rPr>
      </w:pPr>
      <w:r>
        <w:rPr>
          <w:rFonts w:ascii="Times New Roman" w:hAnsi="Times New Roman" w:eastAsia="Times New Roman" w:cs="Times New Roman"/>
          <w:rtl w:val="0"/>
        </w:rPr>
        <w:t>Foster</w:t>
      </w:r>
      <w:r>
        <w:rPr>
          <w:rFonts w:ascii="Times New Roman" w:hAnsi="Times New Roman" w:eastAsia="Times New Roman" w:cs="Times New Roman"/>
          <w:b/>
          <w:bCs/>
          <w:rtl w:val="0"/>
        </w:rPr>
        <w:t xml:space="preserve"> </w:t>
      </w:r>
      <w:r>
        <w:rPr>
          <w:rFonts w:ascii="Times New Roman" w:hAnsi="Times New Roman" w:eastAsia="Times New Roman" w:cs="Times New Roman"/>
          <w:rtl w:val="0"/>
        </w:rPr>
        <w:t>critical academic engagement with South-South transnational solidarity and transhemispheric solidarities, examining their genealogies, infrastructures, and strategic horizons.</w:t>
      </w:r>
    </w:p>
    <w:p w14:paraId="0000001D">
      <w:pPr>
        <w:numPr>
          <w:ilvl w:val="0"/>
          <w:numId w:val="1"/>
        </w:numPr>
        <w:ind w:left="720" w:hanging="360"/>
        <w:rPr>
          <w:rFonts w:ascii="Times New Roman" w:hAnsi="Times New Roman" w:eastAsia="Times New Roman" w:cs="Times New Roman"/>
        </w:rPr>
      </w:pPr>
      <w:r>
        <w:rPr>
          <w:rFonts w:ascii="Times New Roman" w:hAnsi="Times New Roman" w:eastAsia="Times New Roman" w:cs="Times New Roman"/>
          <w:rtl w:val="0"/>
        </w:rPr>
        <w:t xml:space="preserve">Strengthen advocacy and build actionable solidarity networks across continents while unpacking key opportunities and challenges facing collective action. </w:t>
      </w:r>
    </w:p>
    <w:p w14:paraId="0000001E">
      <w:pPr>
        <w:ind w:left="0" w:firstLine="0"/>
        <w:jc w:val="both"/>
        <w:rPr>
          <w:rFonts w:ascii="Times New Roman" w:hAnsi="Times New Roman" w:eastAsia="Times New Roman" w:cs="Times New Roman"/>
        </w:rPr>
      </w:pPr>
      <w:r>
        <w:rPr>
          <w:rFonts w:ascii="Times New Roman" w:hAnsi="Times New Roman" w:eastAsia="Times New Roman" w:cs="Times New Roman"/>
          <w:rtl w:val="0"/>
        </w:rPr>
        <w:t xml:space="preserve">The conference addresses a broad and interdisciplinary audience, including academic researchers, political organizers, practitioners, civil society organizations, and representatives of progressive movements. Its distinctive contribution lies in centering transnational solidarities emerging from the Global South and transhemispheric and diasporic communities, positioning these formations not as peripheral to global politics but as generative sites of theory, strategy, and imagination. In doing so, the conference rethinks resistance to contemporary imperial formations beyond conventional North–South paradigms, foregrounding South–South solidarities as foundational to transformative political futures. </w:t>
      </w:r>
    </w:p>
    <w:p w14:paraId="0000001F">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Structure and Format</w:t>
      </w:r>
    </w:p>
    <w:p w14:paraId="00000020">
      <w:pPr>
        <w:spacing w:line="276" w:lineRule="auto"/>
        <w:jc w:val="left"/>
        <w:rPr>
          <w:rFonts w:ascii="Times New Roman" w:hAnsi="Times New Roman" w:eastAsia="Times New Roman" w:cs="Times New Roman"/>
        </w:rPr>
      </w:pPr>
      <w:r>
        <w:rPr>
          <w:rFonts w:ascii="Times New Roman" w:hAnsi="Times New Roman" w:eastAsia="Times New Roman" w:cs="Times New Roman"/>
          <w:rtl w:val="0"/>
        </w:rPr>
        <w:t>The conference will be organized around four interconnected thematic tracks:</w:t>
      </w:r>
    </w:p>
    <w:p w14:paraId="00000021">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Track 1: Historical Foundations and Contemporary Manifestations</w:t>
      </w:r>
    </w:p>
    <w:p w14:paraId="00000022">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Possible topics include:</w:t>
      </w:r>
    </w:p>
    <w:p w14:paraId="00000023">
      <w:pPr>
        <w:numPr>
          <w:ilvl w:val="0"/>
          <w:numId w:val="2"/>
        </w:numPr>
        <w:spacing w:before="24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The evolution of colonialism into modern imperialism</w:t>
      </w:r>
    </w:p>
    <w:p w14:paraId="00000024">
      <w:pPr>
        <w:numPr>
          <w:ilvl w:val="0"/>
          <w:numId w:val="2"/>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Settler-colonialism as an ongoing project</w:t>
      </w:r>
    </w:p>
    <w:p w14:paraId="00000025">
      <w:pPr>
        <w:numPr>
          <w:ilvl w:val="0"/>
          <w:numId w:val="2"/>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The political economy of contemporary neo-colonialism</w:t>
      </w:r>
    </w:p>
    <w:p w14:paraId="00000026">
      <w:pPr>
        <w:numPr>
          <w:ilvl w:val="0"/>
          <w:numId w:val="2"/>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Humanitarian aid and its proximity to Western power</w:t>
      </w:r>
    </w:p>
    <w:p w14:paraId="00000027">
      <w:pPr>
        <w:numPr>
          <w:ilvl w:val="0"/>
          <w:numId w:val="2"/>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The role of Gulf monarchies and the global billionaire class in shaping neo-colonial power structures</w:t>
      </w:r>
    </w:p>
    <w:p w14:paraId="00000028">
      <w:pPr>
        <w:numPr>
          <w:ilvl w:val="0"/>
          <w:numId w:val="2"/>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Comparative perspectives and shared challenges of solidarity</w:t>
      </w:r>
    </w:p>
    <w:p w14:paraId="00000029">
      <w:pPr>
        <w:spacing w:line="276" w:lineRule="auto"/>
        <w:jc w:val="left"/>
        <w:rPr>
          <w:rFonts w:ascii="Times New Roman" w:hAnsi="Times New Roman" w:eastAsia="Times New Roman" w:cs="Times New Roman"/>
        </w:rPr>
      </w:pPr>
    </w:p>
    <w:p w14:paraId="0000002A">
      <w:pPr>
        <w:spacing w:line="276" w:lineRule="auto"/>
        <w:jc w:val="left"/>
        <w:rPr>
          <w:rFonts w:ascii="Times New Roman" w:hAnsi="Times New Roman" w:eastAsia="Times New Roman" w:cs="Times New Roman"/>
        </w:rPr>
      </w:pPr>
    </w:p>
    <w:p w14:paraId="0000002B">
      <w:pPr>
        <w:spacing w:line="276" w:lineRule="auto"/>
        <w:jc w:val="left"/>
        <w:rPr>
          <w:rFonts w:ascii="Times New Roman" w:hAnsi="Times New Roman" w:eastAsia="Times New Roman" w:cs="Times New Roman"/>
        </w:rPr>
      </w:pPr>
    </w:p>
    <w:p w14:paraId="0000002C">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Track 2: Imperial Crimes and International Law</w:t>
      </w:r>
    </w:p>
    <w:p w14:paraId="0000002D">
      <w:pPr>
        <w:spacing w:line="276" w:lineRule="auto"/>
        <w:rPr>
          <w:rFonts w:ascii="Times New Roman" w:hAnsi="Times New Roman" w:eastAsia="Times New Roman" w:cs="Times New Roman"/>
          <w:b/>
          <w:bCs/>
        </w:rPr>
      </w:pPr>
      <w:r>
        <w:rPr>
          <w:rFonts w:ascii="Times New Roman" w:hAnsi="Times New Roman" w:eastAsia="Times New Roman" w:cs="Times New Roman"/>
          <w:b/>
          <w:bCs/>
          <w:rtl w:val="0"/>
        </w:rPr>
        <w:t>Possible topics include:</w:t>
      </w:r>
    </w:p>
    <w:p w14:paraId="0000002E">
      <w:pPr>
        <w:numPr>
          <w:ilvl w:val="0"/>
          <w:numId w:val="3"/>
        </w:numPr>
        <w:spacing w:before="24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International law as both a tool of resistance and an instrument of imperial power</w:t>
      </w:r>
    </w:p>
    <w:p w14:paraId="0000002F">
      <w:pPr>
        <w:numPr>
          <w:ilvl w:val="0"/>
          <w:numId w:val="3"/>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State sovereignty and its imperial dimensions</w:t>
      </w:r>
    </w:p>
    <w:p w14:paraId="00000030">
      <w:pPr>
        <w:numPr>
          <w:ilvl w:val="0"/>
          <w:numId w:val="3"/>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Building legal solidarity across occupied territories</w:t>
      </w:r>
    </w:p>
    <w:p w14:paraId="00000031">
      <w:pPr>
        <w:numPr>
          <w:ilvl w:val="0"/>
          <w:numId w:val="3"/>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Reclaiming and rebuilding international institutions in a multipolar world</w:t>
      </w:r>
    </w:p>
    <w:p w14:paraId="00000032">
      <w:pPr>
        <w:spacing w:line="276" w:lineRule="auto"/>
        <w:jc w:val="left"/>
        <w:rPr>
          <w:rFonts w:ascii="Times New Roman" w:hAnsi="Times New Roman" w:eastAsia="Times New Roman" w:cs="Times New Roman"/>
          <w:b/>
          <w:bCs/>
        </w:rPr>
      </w:pPr>
    </w:p>
    <w:p w14:paraId="00000033">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Track 3: Solidarity Movements and Grassroots Resistance</w:t>
      </w:r>
    </w:p>
    <w:p w14:paraId="00000034">
      <w:pPr>
        <w:spacing w:line="276" w:lineRule="auto"/>
        <w:rPr>
          <w:rFonts w:ascii="Times New Roman" w:hAnsi="Times New Roman" w:eastAsia="Times New Roman" w:cs="Times New Roman"/>
          <w:b/>
          <w:bCs/>
        </w:rPr>
      </w:pPr>
      <w:r>
        <w:rPr>
          <w:rFonts w:ascii="Times New Roman" w:hAnsi="Times New Roman" w:eastAsia="Times New Roman" w:cs="Times New Roman"/>
          <w:b/>
          <w:bCs/>
          <w:rtl w:val="0"/>
        </w:rPr>
        <w:t>Possible topics include:</w:t>
      </w:r>
    </w:p>
    <w:p w14:paraId="00000035">
      <w:pPr>
        <w:numPr>
          <w:ilvl w:val="0"/>
          <w:numId w:val="4"/>
        </w:numPr>
        <w:spacing w:before="24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Cultural resistance and knowledge sovereignty</w:t>
      </w:r>
    </w:p>
    <w:p w14:paraId="00000036">
      <w:pPr>
        <w:numPr>
          <w:ilvl w:val="0"/>
          <w:numId w:val="4"/>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Intersectional approaches to liberation struggles and reciprocal solidarity</w:t>
      </w:r>
    </w:p>
    <w:p w14:paraId="00000037">
      <w:pPr>
        <w:numPr>
          <w:ilvl w:val="0"/>
          <w:numId w:val="4"/>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The role of cultural and knowledge systems in sustaining dominance and hegemony</w:t>
      </w:r>
    </w:p>
    <w:p w14:paraId="00000038">
      <w:pPr>
        <w:numPr>
          <w:ilvl w:val="0"/>
          <w:numId w:val="4"/>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Anti-capitalist resistance and reducing dependency on Western donor funding</w:t>
      </w:r>
    </w:p>
    <w:p w14:paraId="00000039">
      <w:pPr>
        <w:numPr>
          <w:ilvl w:val="0"/>
          <w:numId w:val="4"/>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Resisting the weaponization of the global financial system</w:t>
      </w:r>
    </w:p>
    <w:p w14:paraId="0000003A">
      <w:pPr>
        <w:spacing w:line="276" w:lineRule="auto"/>
        <w:jc w:val="left"/>
        <w:rPr>
          <w:rFonts w:ascii="Times New Roman" w:hAnsi="Times New Roman" w:eastAsia="Times New Roman" w:cs="Times New Roman"/>
        </w:rPr>
      </w:pPr>
    </w:p>
    <w:p w14:paraId="0000003B">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Track 4: Economic Justice and Resource Sovereignty</w:t>
      </w:r>
    </w:p>
    <w:p w14:paraId="0000003C">
      <w:pPr>
        <w:spacing w:line="276" w:lineRule="auto"/>
        <w:rPr>
          <w:rFonts w:ascii="Times New Roman" w:hAnsi="Times New Roman" w:eastAsia="Times New Roman" w:cs="Times New Roman"/>
          <w:b/>
          <w:bCs/>
        </w:rPr>
      </w:pPr>
      <w:r>
        <w:rPr>
          <w:rFonts w:ascii="Times New Roman" w:hAnsi="Times New Roman" w:eastAsia="Times New Roman" w:cs="Times New Roman"/>
          <w:b/>
          <w:bCs/>
          <w:rtl w:val="0"/>
        </w:rPr>
        <w:t>Possible topics include:</w:t>
      </w:r>
    </w:p>
    <w:p w14:paraId="0000003D">
      <w:pPr>
        <w:numPr>
          <w:ilvl w:val="0"/>
          <w:numId w:val="5"/>
        </w:numPr>
        <w:spacing w:before="24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Land reparations and Indigenous solidarity</w:t>
      </w:r>
    </w:p>
    <w:p w14:paraId="0000003E">
      <w:pPr>
        <w:numPr>
          <w:ilvl w:val="0"/>
          <w:numId w:val="5"/>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Indigeneity and the defense of land</w:t>
      </w:r>
    </w:p>
    <w:p w14:paraId="0000003F">
      <w:pPr>
        <w:numPr>
          <w:ilvl w:val="0"/>
          <w:numId w:val="5"/>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Resistance to extractive economic models</w:t>
      </w:r>
    </w:p>
    <w:p w14:paraId="00000040">
      <w:pPr>
        <w:numPr>
          <w:ilvl w:val="0"/>
          <w:numId w:val="5"/>
        </w:numPr>
        <w:spacing w:before="0" w:after="0" w:line="276" w:lineRule="auto"/>
        <w:ind w:left="720" w:hanging="360"/>
        <w:rPr>
          <w:rFonts w:ascii="Times New Roman" w:hAnsi="Times New Roman" w:eastAsia="Times New Roman" w:cs="Times New Roman"/>
        </w:rPr>
      </w:pPr>
      <w:r>
        <w:rPr>
          <w:rFonts w:ascii="Times New Roman" w:hAnsi="Times New Roman" w:eastAsia="Times New Roman" w:cs="Times New Roman"/>
          <w:rtl w:val="0"/>
        </w:rPr>
        <w:t>Globalization and neo-imperial practices in shaping economic dependency</w:t>
      </w:r>
    </w:p>
    <w:p w14:paraId="00000041">
      <w:pPr>
        <w:spacing w:line="276" w:lineRule="auto"/>
        <w:jc w:val="both"/>
        <w:rPr>
          <w:rFonts w:ascii="Times New Roman" w:hAnsi="Times New Roman" w:eastAsia="Times New Roman" w:cs="Times New Roman"/>
        </w:rPr>
      </w:pPr>
    </w:p>
    <w:p w14:paraId="00000042">
      <w:pPr>
        <w:spacing w:line="276" w:lineRule="auto"/>
        <w:jc w:val="both"/>
        <w:rPr>
          <w:rFonts w:ascii="Times New Roman" w:hAnsi="Times New Roman" w:eastAsia="Times New Roman" w:cs="Times New Roman"/>
        </w:rPr>
      </w:pPr>
      <w:r>
        <w:rPr>
          <w:rFonts w:ascii="Times New Roman" w:hAnsi="Times New Roman" w:eastAsia="Times New Roman" w:cs="Times New Roman"/>
          <w:rtl w:val="0"/>
        </w:rPr>
        <w:t>The conference will be held in Ramallah, with virtual participation options to ensure broad international engagement and accessibility for those unable to travel. It will feature keynote addresses by leading scholars and practitioners, panel discussions, and research paper presentations. Participants will be responsible for covering their own travel and accommodation costs. Conference organizers will provide further logistical information and support closer to the conference date.</w:t>
      </w:r>
    </w:p>
    <w:p w14:paraId="00000043">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Expected Output</w:t>
      </w:r>
    </w:p>
    <w:p w14:paraId="00000044">
      <w:pPr>
        <w:spacing w:line="276" w:lineRule="auto"/>
        <w:jc w:val="both"/>
        <w:rPr>
          <w:rFonts w:ascii="Times New Roman" w:hAnsi="Times New Roman" w:eastAsia="Times New Roman" w:cs="Times New Roman"/>
        </w:rPr>
      </w:pPr>
      <w:r>
        <w:rPr>
          <w:rFonts w:ascii="Times New Roman" w:hAnsi="Times New Roman" w:eastAsia="Times New Roman" w:cs="Times New Roman"/>
          <w:rtl w:val="0"/>
        </w:rPr>
        <w:t xml:space="preserve">Conference papers and proceedings will be published in a joint volume by Al-Shabaka: The Palestinian Policy Network and the Ibrahim Abu Lughod Institute of International Studies at Birzeit University, as well as in additional publication formats, including special issues. </w:t>
      </w:r>
    </w:p>
    <w:p w14:paraId="00000045">
      <w:pPr>
        <w:spacing w:line="276" w:lineRule="auto"/>
        <w:jc w:val="both"/>
        <w:rPr>
          <w:rFonts w:ascii="Times New Roman" w:hAnsi="Times New Roman" w:eastAsia="Times New Roman" w:cs="Times New Roman"/>
        </w:rPr>
      </w:pPr>
    </w:p>
    <w:p w14:paraId="00000046">
      <w:pPr>
        <w:spacing w:line="276" w:lineRule="auto"/>
        <w:jc w:val="left"/>
        <w:rPr>
          <w:rFonts w:ascii="Times New Roman" w:hAnsi="Times New Roman" w:eastAsia="Times New Roman" w:cs="Times New Roman"/>
          <w:b/>
          <w:bCs/>
        </w:rPr>
      </w:pPr>
      <w:r>
        <w:rPr>
          <w:rFonts w:ascii="Times New Roman" w:hAnsi="Times New Roman" w:eastAsia="Times New Roman" w:cs="Times New Roman"/>
          <w:b/>
          <w:bCs/>
          <w:rtl w:val="0"/>
        </w:rPr>
        <w:t>Submission Guidelines</w:t>
      </w:r>
    </w:p>
    <w:p w14:paraId="00000047">
      <w:pPr>
        <w:spacing w:line="276" w:lineRule="auto"/>
        <w:jc w:val="left"/>
        <w:rPr>
          <w:rFonts w:ascii="Times New Roman" w:hAnsi="Times New Roman" w:eastAsia="Times New Roman" w:cs="Times New Roman"/>
        </w:rPr>
      </w:pPr>
      <w:r>
        <w:rPr>
          <w:rFonts w:ascii="Times New Roman" w:hAnsi="Times New Roman" w:eastAsia="Times New Roman" w:cs="Times New Roman"/>
          <w:rtl w:val="0"/>
        </w:rPr>
        <w:t>Abstracts</w:t>
      </w:r>
      <w:r>
        <w:rPr>
          <w:rFonts w:ascii="Times New Roman" w:hAnsi="Times New Roman" w:eastAsia="Times New Roman" w:cs="Times New Roman"/>
          <w:b/>
          <w:bCs/>
          <w:rtl w:val="0"/>
        </w:rPr>
        <w:t xml:space="preserve"> </w:t>
      </w:r>
      <w:r>
        <w:rPr>
          <w:rFonts w:ascii="Times New Roman" w:hAnsi="Times New Roman" w:eastAsia="Times New Roman" w:cs="Times New Roman"/>
          <w:rtl w:val="0"/>
        </w:rPr>
        <w:t xml:space="preserve">of papers (approximately 250 words), along with a short bio, should be sent to </w:t>
      </w:r>
      <w:r>
        <w:rPr>
          <w:rFonts w:ascii="Times New Roman" w:hAnsi="Times New Roman" w:eastAsia="Times New Roman" w:cs="Times New Roman"/>
          <w:u w:val="single"/>
          <w:rtl w:val="0"/>
        </w:rPr>
        <w:t>conference.ialiis@birzeit.edu</w:t>
      </w:r>
      <w:r>
        <w:rPr>
          <w:rFonts w:ascii="Times New Roman" w:hAnsi="Times New Roman" w:eastAsia="Times New Roman" w:cs="Times New Roman"/>
          <w:rtl w:val="0"/>
        </w:rPr>
        <w:t xml:space="preserve"> no later than </w:t>
      </w:r>
      <w:r>
        <w:rPr>
          <w:rFonts w:ascii="Times New Roman" w:hAnsi="Times New Roman" w:eastAsia="Times New Roman" w:cs="Times New Roman"/>
          <w:b/>
          <w:bCs/>
          <w:rtl w:val="0"/>
        </w:rPr>
        <w:t>April 20, 2026</w:t>
      </w:r>
      <w:r>
        <w:rPr>
          <w:rFonts w:ascii="Times New Roman" w:hAnsi="Times New Roman" w:eastAsia="Times New Roman" w:cs="Times New Roman"/>
          <w:rtl w:val="0"/>
        </w:rPr>
        <w:t xml:space="preserve">. </w:t>
      </w:r>
    </w:p>
    <w:p w14:paraId="0000004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76" w:lineRule="auto"/>
        <w:ind w:left="0" w:right="0" w:firstLine="0"/>
        <w:jc w:val="left"/>
        <w:rPr>
          <w:rFonts w:ascii="Times New Roman" w:hAnsi="Times New Roman" w:eastAsia="Times New Roman" w:cs="Times New Roman"/>
        </w:rPr>
      </w:pPr>
      <w:r>
        <w:rPr>
          <w:rFonts w:ascii="Times New Roman" w:hAnsi="Times New Roman" w:eastAsia="Times New Roman" w:cs="Times New Roman"/>
          <w:rtl w:val="0"/>
        </w:rPr>
        <w:t xml:space="preserve">Letters of acceptance will be sent by </w:t>
      </w:r>
      <w:r>
        <w:rPr>
          <w:rFonts w:ascii="Times New Roman" w:hAnsi="Times New Roman" w:eastAsia="Times New Roman" w:cs="Times New Roman"/>
          <w:b/>
          <w:bCs/>
          <w:rtl w:val="0"/>
        </w:rPr>
        <w:t>May 20, 2026</w:t>
      </w:r>
      <w:r>
        <w:rPr>
          <w:rFonts w:ascii="Times New Roman" w:hAnsi="Times New Roman" w:eastAsia="Times New Roman" w:cs="Times New Roman"/>
          <w:rtl w:val="0"/>
        </w:rPr>
        <w:t xml:space="preserve">. </w:t>
      </w:r>
    </w:p>
    <w:p w14:paraId="00000049">
      <w:pPr>
        <w:spacing w:line="276" w:lineRule="auto"/>
        <w:rPr>
          <w:rFonts w:ascii="Times New Roman" w:hAnsi="Times New Roman" w:eastAsia="Times New Roman" w:cs="Times New Roman"/>
        </w:rPr>
      </w:pPr>
      <w:r>
        <w:rPr>
          <w:rFonts w:ascii="Times New Roman" w:hAnsi="Times New Roman" w:eastAsia="Times New Roman" w:cs="Times New Roman"/>
          <w:b/>
          <w:bCs/>
          <w:rtl w:val="0"/>
        </w:rPr>
        <w:t>Full paper submission deadline:</w:t>
      </w:r>
      <w:r>
        <w:rPr>
          <w:rFonts w:ascii="Times New Roman" w:hAnsi="Times New Roman" w:eastAsia="Times New Roman" w:cs="Times New Roman"/>
          <w:rtl w:val="0"/>
        </w:rPr>
        <w:t xml:space="preserve"> Those selected to participate should submit their full papers (4,000 – 6,000 words) by </w:t>
      </w:r>
      <w:r>
        <w:rPr>
          <w:rFonts w:ascii="Times New Roman" w:hAnsi="Times New Roman" w:eastAsia="Times New Roman" w:cs="Times New Roman"/>
          <w:b/>
          <w:bCs/>
          <w:rtl w:val="0"/>
        </w:rPr>
        <w:t xml:space="preserve">September 30, 2026. </w:t>
      </w:r>
    </w:p>
    <w:p w14:paraId="0000004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0" w:line="276" w:lineRule="auto"/>
        <w:ind w:left="0" w:right="0" w:firstLine="0"/>
        <w:jc w:val="left"/>
        <w:rPr>
          <w:rFonts w:ascii="Times New Roman" w:hAnsi="Times New Roman" w:eastAsia="Times New Roman" w:cs="Times New Roman"/>
          <w:b/>
          <w:bCs/>
        </w:rPr>
      </w:pPr>
      <w:r>
        <w:rPr>
          <w:rFonts w:ascii="Times New Roman" w:hAnsi="Times New Roman" w:eastAsia="Times New Roman" w:cs="Times New Roman"/>
          <w:rtl w:val="0"/>
        </w:rPr>
        <w:t xml:space="preserve">Abstracts may be submitted in </w:t>
      </w:r>
      <w:r>
        <w:rPr>
          <w:rFonts w:ascii="Times New Roman" w:hAnsi="Times New Roman" w:eastAsia="Times New Roman" w:cs="Times New Roman"/>
          <w:b/>
          <w:bCs/>
          <w:rtl w:val="0"/>
        </w:rPr>
        <w:t>Arabic, English, and Spanish</w:t>
      </w:r>
      <w:r>
        <w:rPr>
          <w:rFonts w:ascii="Times New Roman" w:hAnsi="Times New Roman" w:eastAsia="Times New Roman" w:cs="Times New Roman"/>
          <w:rtl w:val="0"/>
        </w:rPr>
        <w:t xml:space="preserve">. The conference will provide simultaneous translation in all three languages. </w:t>
      </w:r>
    </w:p>
    <w:p w14:paraId="0000004B">
      <w:pPr>
        <w:spacing w:before="280" w:after="280" w:line="240" w:lineRule="auto"/>
        <w:rPr>
          <w:rFonts w:ascii="Times New Roman" w:hAnsi="Times New Roman" w:eastAsia="Times New Roman" w:cs="Times New Roman"/>
          <w:b/>
          <w:bCs/>
        </w:rPr>
      </w:pPr>
    </w:p>
    <w:p w14:paraId="0000004C">
      <w:pPr>
        <w:spacing w:line="301" w:lineRule="auto"/>
        <w:jc w:val="center"/>
        <w:rPr>
          <w:rFonts w:ascii="Times New Roman" w:hAnsi="Times New Roman" w:eastAsia="Times New Roman" w:cs="Times New Roman"/>
          <w:b/>
          <w:bCs/>
        </w:rPr>
      </w:pPr>
      <w:r>
        <w:rPr>
          <w:rFonts w:ascii="Times New Roman" w:hAnsi="Times New Roman" w:eastAsia="Times New Roman" w:cs="Times New Roman"/>
          <w:rtl w:val="0"/>
        </w:rPr>
        <w:t xml:space="preserve"> </w:t>
      </w:r>
    </w:p>
    <w:p w14:paraId="0000004D">
      <w:pPr>
        <w:spacing w:before="280" w:after="280" w:line="240" w:lineRule="auto"/>
        <w:jc w:val="center"/>
        <w:rPr>
          <w:rFonts w:ascii="Times New Roman" w:hAnsi="Times New Roman" w:eastAsia="Times New Roman" w:cs="Times New Roman"/>
          <w:b/>
          <w:bCs/>
        </w:rPr>
      </w:pPr>
    </w:p>
    <w:p w14:paraId="0000004E">
      <w:pPr>
        <w:spacing w:before="280" w:after="280" w:line="240" w:lineRule="auto"/>
        <w:jc w:val="center"/>
        <w:rPr>
          <w:rFonts w:ascii="Times New Roman" w:hAnsi="Times New Roman" w:eastAsia="Times New Roman" w:cs="Times New Roman"/>
          <w:b/>
          <w:bCs/>
        </w:rPr>
      </w:pPr>
    </w:p>
    <w:p w14:paraId="0000004F">
      <w:pPr>
        <w:spacing w:before="280" w:after="280" w:line="240" w:lineRule="auto"/>
        <w:jc w:val="center"/>
        <w:rPr>
          <w:rFonts w:ascii="Times New Roman" w:hAnsi="Times New Roman" w:eastAsia="Times New Roman" w:cs="Times New Roman"/>
          <w:b/>
          <w:bCs/>
        </w:rPr>
      </w:pPr>
    </w:p>
    <w:p w14:paraId="00000050">
      <w:pPr>
        <w:spacing w:before="280" w:after="280" w:line="240" w:lineRule="auto"/>
        <w:jc w:val="center"/>
        <w:rPr>
          <w:rFonts w:ascii="Times New Roman" w:hAnsi="Times New Roman" w:eastAsia="Times New Roman" w:cs="Times New Roman"/>
          <w:b/>
          <w:bCs/>
        </w:rPr>
      </w:pPr>
    </w:p>
    <w:p w14:paraId="00000051">
      <w:pPr>
        <w:spacing w:before="280" w:after="280" w:line="240" w:lineRule="auto"/>
        <w:jc w:val="center"/>
        <w:rPr>
          <w:rFonts w:ascii="Times New Roman" w:hAnsi="Times New Roman" w:eastAsia="Times New Roman" w:cs="Times New Roman"/>
          <w:b/>
          <w:bCs/>
        </w:rPr>
      </w:pPr>
    </w:p>
    <w:p w14:paraId="00000052">
      <w:pPr>
        <w:spacing w:before="280" w:after="280" w:line="240" w:lineRule="auto"/>
        <w:jc w:val="center"/>
        <w:rPr>
          <w:rFonts w:ascii="Times New Roman" w:hAnsi="Times New Roman" w:eastAsia="Times New Roman" w:cs="Times New Roman"/>
          <w:b/>
          <w:bCs/>
        </w:rPr>
      </w:pPr>
    </w:p>
    <w:p w14:paraId="00000053">
      <w:pPr>
        <w:spacing w:before="280" w:after="280" w:line="240" w:lineRule="auto"/>
        <w:jc w:val="center"/>
        <w:rPr>
          <w:rFonts w:ascii="Times New Roman" w:hAnsi="Times New Roman" w:eastAsia="Times New Roman" w:cs="Times New Roman"/>
          <w:b/>
          <w:bCs/>
        </w:rPr>
      </w:pPr>
    </w:p>
    <w:p w14:paraId="00000054">
      <w:pPr>
        <w:spacing w:before="280" w:after="280" w:line="240" w:lineRule="auto"/>
        <w:jc w:val="center"/>
        <w:rPr>
          <w:rFonts w:ascii="Times New Roman" w:hAnsi="Times New Roman" w:eastAsia="Times New Roman" w:cs="Times New Roman"/>
          <w:b/>
          <w:bCs/>
        </w:rPr>
      </w:pPr>
    </w:p>
    <w:p w14:paraId="00000055">
      <w:pPr>
        <w:spacing w:before="280" w:after="280" w:line="240" w:lineRule="auto"/>
        <w:jc w:val="center"/>
        <w:rPr>
          <w:rFonts w:ascii="Times New Roman" w:hAnsi="Times New Roman" w:eastAsia="Times New Roman" w:cs="Times New Roman"/>
          <w:b/>
          <w:bCs/>
        </w:rPr>
      </w:pPr>
    </w:p>
    <w:p w14:paraId="00000056">
      <w:pPr>
        <w:spacing w:before="280" w:after="280" w:line="240" w:lineRule="auto"/>
        <w:jc w:val="center"/>
        <w:rPr>
          <w:rFonts w:ascii="Times New Roman" w:hAnsi="Times New Roman" w:eastAsia="Times New Roman" w:cs="Times New Roman"/>
          <w:b/>
          <w:bCs/>
        </w:rPr>
      </w:pPr>
    </w:p>
    <w:p w14:paraId="00000057">
      <w:pPr>
        <w:spacing w:before="280" w:after="280" w:line="240" w:lineRule="auto"/>
        <w:jc w:val="center"/>
        <w:rPr>
          <w:rFonts w:ascii="Times New Roman" w:hAnsi="Times New Roman" w:eastAsia="Times New Roman" w:cs="Times New Roman"/>
          <w:b/>
          <w:bCs/>
        </w:rPr>
      </w:pPr>
    </w:p>
    <w:p w14:paraId="00000058">
      <w:pPr>
        <w:spacing w:before="280" w:after="280" w:line="240" w:lineRule="auto"/>
        <w:jc w:val="center"/>
        <w:rPr>
          <w:rFonts w:ascii="Times New Roman" w:hAnsi="Times New Roman" w:eastAsia="Times New Roman" w:cs="Times New Roman"/>
          <w:b/>
          <w:bCs/>
        </w:rPr>
      </w:pPr>
    </w:p>
    <w:p w14:paraId="00000059">
      <w:pPr>
        <w:spacing w:before="280" w:line="240" w:lineRule="auto"/>
      </w:pPr>
    </w:p>
    <w:sectPr>
      <w:headerReference r:id="rId6" w:type="first"/>
      <w:footerReference r:id="rId7" w:type="first"/>
      <w:headerReference r:id="rId5" w:type="default"/>
      <w:pgSz w:w="12240" w:h="15840"/>
      <w:pgMar w:top="1440" w:right="1440" w:bottom="1440" w:left="1440" w:header="737"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D8F0CC7A-45A2-40FC-9CF2-0CD242AD1B14}"/>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A05CD8ED-7F5D-4BDA-AB98-0DD7147A049C}"/>
  </w:font>
  <w:font w:name="Wingdings">
    <w:panose1 w:val="05000000000000000000"/>
    <w:charset w:val="02"/>
    <w:family w:val="auto"/>
    <w:pitch w:val="default"/>
    <w:sig w:usb0="00000000" w:usb1="00000000" w:usb2="00000000" w:usb3="00000000" w:csb0="80000000" w:csb1="00000000"/>
    <w:embedRegular r:id="rId3" w:fontKey="{90736B5D-E36B-46FF-8CDC-12A0BE993ABA}"/>
  </w:font>
  <w:font w:name="Calibri">
    <w:panose1 w:val="020F0502020204030204"/>
    <w:charset w:val="00"/>
    <w:family w:val="swiss"/>
    <w:pitch w:val="default"/>
    <w:sig w:usb0="E4002EFF" w:usb1="C200247B" w:usb2="00000009" w:usb3="00000000" w:csb0="200001FF" w:csb1="00000000"/>
    <w:embedRegular r:id="rId4" w:fontKey="{1310F40D-6E30-4FE1-A542-02CD8BFFAAE4}"/>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20B0004020202020204"/>
    <w:charset w:val="86"/>
    <w:family w:val="auto"/>
    <w:pitch w:val="default"/>
    <w:sig w:usb0="00000000" w:usb1="00000000" w:usb2="00000000" w:usb3="00000000" w:csb0="2000019F" w:csb1="00000000"/>
    <w:embedRegular r:id="rId5" w:fontKey="{F2DBDA2B-65EA-495B-A0F7-C6C0B822D5A4}"/>
  </w:font>
  <w:font w:name="Play">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6" w:fontKey="{B2FAD9E1-F60F-4C94-B40A-6363C281EFE1}"/>
  </w:font>
  <w:font w:name="等线 Light">
    <w:altName w:val="Segoe Print"/>
    <w:panose1 w:val="00000000000000000000"/>
    <w:charset w:val="00"/>
    <w:family w:val="auto"/>
    <w:pitch w:val="default"/>
    <w:sig w:usb0="00000000" w:usb1="00000000" w:usb2="00000000" w:usb3="00000000" w:csb0="00000000" w:csb1="00000000"/>
  </w:font>
  <w:font w:name="Aptos Display">
    <w:panose1 w:val="020B0004020202020204"/>
    <w:charset w:val="00"/>
    <w:family w:val="auto"/>
    <w:pitch w:val="default"/>
    <w:sig w:usb0="20000287" w:usb1="00000003" w:usb2="00000000" w:usb3="00000000" w:csb0="2000019F" w:csb1="00000000"/>
    <w:embedRegular r:id="rId7" w:fontKey="{6824AE16-B1CA-4ED8-AA26-76F2A0E19D86}"/>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C">
    <w:pPr>
      <w:keepLines/>
      <w:spacing w:line="240" w:lineRule="auto"/>
    </w:pPr>
    <w:r>
      <w:drawing>
        <wp:anchor distT="114300" distB="114300" distL="114300" distR="114300" simplePos="0" relativeHeight="251659264" behindDoc="0" locked="0" layoutInCell="1" allowOverlap="1">
          <wp:simplePos x="0" y="0"/>
          <wp:positionH relativeFrom="column">
            <wp:posOffset>-278765</wp:posOffset>
          </wp:positionH>
          <wp:positionV relativeFrom="paragraph">
            <wp:posOffset>-316865</wp:posOffset>
          </wp:positionV>
          <wp:extent cx="1624330" cy="85534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2" name="image3.jpg"/>
                  <pic:cNvPicPr preferRelativeResize="0"/>
                </pic:nvPicPr>
                <pic:blipFill>
                  <a:blip r:embed="rId1"/>
                  <a:srcRect/>
                  <a:stretch>
                    <a:fillRect/>
                  </a:stretch>
                </pic:blipFill>
                <pic:spPr>
                  <a:xfrm>
                    <a:off x="0" y="0"/>
                    <a:ext cx="1624013" cy="855156"/>
                  </a:xfrm>
                  <a:prstGeom prst="rect">
                    <a:avLst/>
                  </a:prstGeom>
                </pic:spPr>
              </pic:pic>
            </a:graphicData>
          </a:graphic>
        </wp:anchor>
      </w:drawing>
    </w:r>
    <w:r>
      <w:rPr>
        <w:rFonts w:hint="default"/>
        <w:lang w:val="en-ZA"/>
      </w:rPr>
      <w:t xml:space="preserve">                            </w:t>
    </w:r>
    <w:r>
      <w:drawing>
        <wp:inline distT="0" distB="0" distL="114300" distR="114300">
          <wp:extent cx="1034415" cy="473075"/>
          <wp:effectExtent l="0" t="0" r="13335" b="3175"/>
          <wp:docPr id="4" name="Picture 4" descr="CHRflagship main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Rflagship mainBlack"/>
                  <pic:cNvPicPr>
                    <a:picLocks noChangeAspect="1"/>
                  </pic:cNvPicPr>
                </pic:nvPicPr>
                <pic:blipFill>
                  <a:blip r:embed="rId2"/>
                  <a:stretch>
                    <a:fillRect/>
                  </a:stretch>
                </pic:blipFill>
                <pic:spPr>
                  <a:xfrm>
                    <a:off x="0" y="0"/>
                    <a:ext cx="1034415" cy="473075"/>
                  </a:xfrm>
                  <a:prstGeom prst="rect">
                    <a:avLst/>
                  </a:prstGeom>
                </pic:spPr>
              </pic:pic>
            </a:graphicData>
          </a:graphic>
        </wp:inline>
      </w:drawing>
    </w:r>
    <w:r>
      <w:rPr>
        <w:rFonts w:hint="default"/>
        <w:lang w:val="en-ZA"/>
      </w:rPr>
      <w:t xml:space="preserve"> </w:t>
    </w:r>
    <w:r>
      <w:drawing>
        <wp:inline distT="0" distB="0" distL="114300" distR="114300">
          <wp:extent cx="762000" cy="500380"/>
          <wp:effectExtent l="0" t="0" r="0" b="13970"/>
          <wp:docPr id="5" name="Picture 5" descr="UWC 60 yea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WC 60 years logo"/>
                  <pic:cNvPicPr>
                    <a:picLocks noChangeAspect="1"/>
                  </pic:cNvPicPr>
                </pic:nvPicPr>
                <pic:blipFill>
                  <a:blip r:embed="rId3"/>
                  <a:stretch>
                    <a:fillRect/>
                  </a:stretch>
                </pic:blipFill>
                <pic:spPr>
                  <a:xfrm>
                    <a:off x="0" y="0"/>
                    <a:ext cx="762000" cy="500380"/>
                  </a:xfrm>
                  <a:prstGeom prst="rect">
                    <a:avLst/>
                  </a:prstGeom>
                </pic:spPr>
              </pic:pic>
            </a:graphicData>
          </a:graphic>
        </wp:inline>
      </w:drawing>
    </w:r>
    <w:r>
      <w:rPr>
        <w:rFonts w:hint="default"/>
        <w:lang w:val="en-ZA"/>
      </w:rPr>
      <w:t xml:space="preserve">                                                                                </w:t>
    </w:r>
    <w:r>
      <w:drawing>
        <wp:anchor distT="114300" distB="114300" distL="114300" distR="114300" simplePos="0" relativeHeight="251659264" behindDoc="1" locked="0" layoutInCell="1" allowOverlap="1">
          <wp:simplePos x="0" y="0"/>
          <wp:positionH relativeFrom="column">
            <wp:posOffset>4733925</wp:posOffset>
          </wp:positionH>
          <wp:positionV relativeFrom="paragraph">
            <wp:posOffset>219075</wp:posOffset>
          </wp:positionV>
          <wp:extent cx="1312545" cy="40957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4"/>
                  <a:srcRect/>
                  <a:stretch>
                    <a:fillRect/>
                  </a:stretch>
                </pic:blipFill>
                <pic:spPr>
                  <a:xfrm>
                    <a:off x="0" y="0"/>
                    <a:ext cx="1312312" cy="409575"/>
                  </a:xfrm>
                  <a:prstGeom prst="rect">
                    <a:avLst/>
                  </a:prstGeom>
                </pic:spPr>
              </pic:pic>
            </a:graphicData>
          </a:graphic>
        </wp:anchor>
      </w:drawing>
    </w:r>
    <w:r>
      <w:drawing>
        <wp:anchor distT="114300" distB="114300" distL="114300" distR="114300" simplePos="0" relativeHeight="251659264" behindDoc="1" locked="0" layoutInCell="1" allowOverlap="1">
          <wp:simplePos x="0" y="0"/>
          <wp:positionH relativeFrom="column">
            <wp:posOffset>4455795</wp:posOffset>
          </wp:positionH>
          <wp:positionV relativeFrom="paragraph">
            <wp:posOffset>-189865</wp:posOffset>
          </wp:positionV>
          <wp:extent cx="1487170" cy="40957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5"/>
                  <a:srcRect/>
                  <a:stretch>
                    <a:fillRect/>
                  </a:stretch>
                </pic:blipFill>
                <pic:spPr>
                  <a:xfrm>
                    <a:off x="0" y="0"/>
                    <a:ext cx="1487404" cy="4095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CF092B84"/>
    <w:multiLevelType w:val="multilevel"/>
    <w:tmpl w:val="CF092B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6312EBC"/>
    <w:rsid w:val="7D4E72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Aptos" w:hAnsi="Aptos" w:eastAsia="Aptos" w:cs="Aptos"/>
      <w:sz w:val="24"/>
      <w:szCs w:val="24"/>
      <w:lang w:val="en"/>
    </w:rPr>
  </w:style>
  <w:style w:type="paragraph" w:styleId="2">
    <w:name w:val="heading 1"/>
    <w:basedOn w:val="1"/>
    <w:next w:val="1"/>
    <w:link w:val="18"/>
    <w:qFormat/>
    <w:uiPriority w:val="0"/>
    <w:pPr>
      <w:keepNext/>
      <w:keepLines/>
      <w:spacing w:before="360" w:after="80"/>
    </w:pPr>
    <w:rPr>
      <w:rFonts w:ascii="Play" w:hAnsi="Play" w:eastAsia="Play" w:cs="Play"/>
      <w:color w:val="0F4761"/>
      <w:sz w:val="40"/>
      <w:szCs w:val="40"/>
    </w:rPr>
  </w:style>
  <w:style w:type="paragraph" w:styleId="3">
    <w:name w:val="heading 2"/>
    <w:basedOn w:val="1"/>
    <w:next w:val="1"/>
    <w:link w:val="19"/>
    <w:qFormat/>
    <w:uiPriority w:val="0"/>
    <w:pPr>
      <w:keepNext/>
      <w:keepLines/>
      <w:spacing w:before="160" w:after="80"/>
    </w:pPr>
    <w:rPr>
      <w:rFonts w:ascii="Play" w:hAnsi="Play" w:eastAsia="Play" w:cs="Play"/>
      <w:color w:val="0F4761"/>
      <w:sz w:val="32"/>
      <w:szCs w:val="32"/>
    </w:rPr>
  </w:style>
  <w:style w:type="paragraph" w:styleId="4">
    <w:name w:val="heading 3"/>
    <w:basedOn w:val="1"/>
    <w:next w:val="1"/>
    <w:link w:val="20"/>
    <w:qFormat/>
    <w:uiPriority w:val="0"/>
    <w:pPr>
      <w:keepNext/>
      <w:keepLines/>
      <w:spacing w:before="160" w:after="80"/>
    </w:pPr>
    <w:rPr>
      <w:color w:val="0F4761"/>
      <w:sz w:val="28"/>
      <w:szCs w:val="28"/>
    </w:rPr>
  </w:style>
  <w:style w:type="paragraph" w:styleId="5">
    <w:name w:val="heading 4"/>
    <w:basedOn w:val="1"/>
    <w:next w:val="1"/>
    <w:link w:val="21"/>
    <w:qFormat/>
    <w:uiPriority w:val="0"/>
    <w:pPr>
      <w:keepNext/>
      <w:keepLines/>
      <w:spacing w:before="80" w:after="40"/>
    </w:pPr>
    <w:rPr>
      <w:i/>
      <w:iCs/>
      <w:color w:val="0F4761"/>
    </w:rPr>
  </w:style>
  <w:style w:type="paragraph" w:styleId="6">
    <w:name w:val="heading 5"/>
    <w:basedOn w:val="1"/>
    <w:next w:val="1"/>
    <w:link w:val="22"/>
    <w:qFormat/>
    <w:uiPriority w:val="0"/>
    <w:pPr>
      <w:keepNext/>
      <w:keepLines/>
      <w:spacing w:before="80" w:after="40"/>
    </w:pPr>
    <w:rPr>
      <w:color w:val="0F4761"/>
    </w:rPr>
  </w:style>
  <w:style w:type="paragraph" w:styleId="7">
    <w:name w:val="heading 6"/>
    <w:basedOn w:val="1"/>
    <w:next w:val="1"/>
    <w:link w:val="23"/>
    <w:qFormat/>
    <w:uiPriority w:val="0"/>
    <w:pPr>
      <w:keepNext/>
      <w:keepLines/>
      <w:spacing w:before="40" w:after="0"/>
    </w:pPr>
    <w:rPr>
      <w:i/>
      <w:iCs/>
      <w:color w:val="595959"/>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annotation reference"/>
    <w:basedOn w:val="11"/>
    <w:semiHidden/>
    <w:unhideWhenUsed/>
    <w:qFormat/>
    <w:uiPriority w:val="99"/>
    <w:rPr>
      <w:sz w:val="16"/>
      <w:szCs w:val="16"/>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Subtitle"/>
    <w:basedOn w:val="1"/>
    <w:next w:val="1"/>
    <w:qFormat/>
    <w:uiPriority w:val="0"/>
    <w:rPr>
      <w:color w:val="595959"/>
      <w:sz w:val="28"/>
      <w:szCs w:val="28"/>
    </w:rPr>
  </w:style>
  <w:style w:type="paragraph" w:styleId="16">
    <w:name w:val="Title"/>
    <w:basedOn w:val="1"/>
    <w:next w:val="1"/>
    <w:link w:val="27"/>
    <w:qFormat/>
    <w:uiPriority w:val="0"/>
    <w:pPr>
      <w:spacing w:after="80" w:line="240" w:lineRule="auto"/>
    </w:pPr>
    <w:rPr>
      <w:rFonts w:ascii="Play" w:hAnsi="Play" w:eastAsia="Play" w:cs="Play"/>
      <w:sz w:val="56"/>
      <w:szCs w:val="56"/>
    </w:rPr>
  </w:style>
  <w:style w:type="table" w:customStyle="1" w:styleId="17">
    <w:name w:val="TableNormal"/>
    <w:qFormat/>
    <w:uiPriority w:val="0"/>
    <w:tblPr>
      <w:tblCellMar>
        <w:top w:w="100" w:type="dxa"/>
        <w:left w:w="100" w:type="dxa"/>
        <w:bottom w:w="100" w:type="dxa"/>
        <w:right w:w="100" w:type="dxa"/>
      </w:tblCellMar>
    </w:tblPr>
  </w:style>
  <w:style w:type="character" w:customStyle="1" w:styleId="18">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104862" w:themeColor="accent1" w:themeShade="BF"/>
    </w:rPr>
  </w:style>
  <w:style w:type="character" w:customStyle="1" w:styleId="22">
    <w:name w:val="Heading 5 Char"/>
    <w:basedOn w:val="11"/>
    <w:link w:val="6"/>
    <w:semiHidden/>
    <w:qFormat/>
    <w:uiPriority w:val="9"/>
    <w:rPr>
      <w:rFonts w:eastAsiaTheme="majorEastAsia" w:cstheme="majorBidi"/>
      <w:color w:val="104862"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6"/>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Intense Quote Char"/>
    <w:basedOn w:val="11"/>
    <w:link w:val="33"/>
    <w:qFormat/>
    <w:uiPriority w:val="30"/>
    <w:rPr>
      <w:i/>
      <w:iCs/>
      <w:color w:val="104862" w:themeColor="accent1" w:themeShade="BF"/>
    </w:rPr>
  </w:style>
  <w:style w:type="character" w:customStyle="1" w:styleId="35">
    <w:name w:val="Intense Reference"/>
    <w:basedOn w:val="11"/>
    <w:qFormat/>
    <w:uiPriority w:val="32"/>
    <w:rPr>
      <w:b/>
      <w:bCs/>
      <w:smallCaps/>
      <w:color w:val="104862" w:themeColor="accent1" w:themeShade="BF"/>
      <w:spacing w:val="5"/>
    </w:rPr>
  </w:style>
  <w:style w:type="paragraph" w:styleId="36">
    <w:name w:val="No Spacing"/>
    <w:qFormat/>
    <w:uiPriority w:val="1"/>
    <w:pPr>
      <w:spacing w:after="0" w:line="240" w:lineRule="auto"/>
    </w:pPr>
    <w:rPr>
      <w:rFonts w:ascii="Aptos" w:hAnsi="Aptos" w:eastAsia="Aptos" w:cs="Aptos"/>
      <w:sz w:val="24"/>
      <w:szCs w:val="24"/>
      <w:lang w:val="e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5" Type="http://schemas.openxmlformats.org/officeDocument/2006/relationships/image" Target="media/image5.jpeg"/><Relationship Id="rId4" Type="http://schemas.openxmlformats.org/officeDocument/2006/relationships/image" Target="media/image4.jpe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wh7zvYCg840t/hn/u+/v1uiQ==">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</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5</Pages>
  <Words>922</Words>
  <Characters>6194</Characters>
  <TotalTime>2</TotalTime>
  <ScaleCrop>false</ScaleCrop>
  <LinksUpToDate>false</LinksUpToDate>
  <CharactersWithSpaces>7068</CharactersWithSpaces>
  <Application>WPS Office_12.1.0.25242_F1E327BC-269C-435d-A152-05C5408002CA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2026-01-31T09:44:00Z</dcterms:created>
  <dc:creator>Basil A Farraj</dc:creator>
  <cp:lastModifiedBy>Samuel Longford</cp:lastModifiedBy>
  <dcterms:modified xsi:type="dcterms:W3CDTF">2026-03-25T07:19:06Z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eyJoZGlkIjoiN2E3ZTk1NTMzMDQ4NTk3NzA3ZWIzMjAxMGQ4YTljNjciLCJ1c2VySWQiOiIzNzI4NjQ2MTk0MzU4In0=</vt:lpwstr>
  </property>
  <property fmtid="{D5CDD505-2E9C-101B-9397-08002B2CF9AE}" pid="3" name="KSOProductBuildVer">
    <vt:lpwstr>1033-12.1.0.25242</vt:lpwstr>
  </property>
  <property fmtid="{D5CDD505-2E9C-101B-9397-08002B2CF9AE}" pid="4" name="ICV">
    <vt:lpwstr>76935956D3FE4E0C94864FAE854FA16B_12</vt:lpwstr>
  </property>
</Properties>
</file>